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Fonts w:ascii="Helvetica" w:hAnsi="Helvetica"/>
          <w:color w:val="auto"/>
          <w:spacing w:val="0"/>
          <w:kern w:val="0"/>
          <w:sz w:val="24"/>
        </w:rPr>
        <w:t>Naam + voornaam</w:t>
      </w:r>
    </w:p>
    <w:p>
      <w:pPr>
        <w:pStyle w:val="Normal"/>
        <w:bidi w:val="0"/>
        <w:jc w:val="left"/>
        <w:rPr/>
      </w:pPr>
      <w:r>
        <w:rPr>
          <w:rFonts w:ascii="Helvetica" w:hAnsi="Helvetica"/>
          <w:color w:val="auto"/>
          <w:spacing w:val="0"/>
          <w:kern w:val="0"/>
          <w:sz w:val="24"/>
        </w:rPr>
        <w:t>straat</w:t>
      </w:r>
    </w:p>
    <w:p>
      <w:pPr>
        <w:pStyle w:val="Normal"/>
        <w:bidi w:val="0"/>
        <w:jc w:val="left"/>
        <w:rPr>
          <w:rFonts w:ascii="Helvetica" w:hAnsi="Helvetica"/>
          <w:color w:val="auto"/>
          <w:spacing w:val="0"/>
          <w:kern w:val="0"/>
          <w:sz w:val="24"/>
        </w:rPr>
      </w:pPr>
      <w:r>
        <w:rPr>
          <w:rFonts w:ascii="Helvetica" w:hAnsi="Helvetica"/>
          <w:color w:val="auto"/>
          <w:spacing w:val="0"/>
          <w:kern w:val="0"/>
          <w:sz w:val="24"/>
        </w:rPr>
      </w:r>
    </w:p>
    <w:p>
      <w:pPr>
        <w:pStyle w:val="Normal"/>
        <w:bidi w:val="0"/>
        <w:jc w:val="left"/>
        <w:rPr/>
      </w:pPr>
      <w:r>
        <w:rPr>
          <w:rFonts w:ascii="Helvetica" w:hAnsi="Helvetica"/>
          <w:color w:val="auto"/>
          <w:spacing w:val="0"/>
          <w:kern w:val="0"/>
          <w:sz w:val="24"/>
        </w:rPr>
        <w:t xml:space="preserve">dient bezwaar in tegen de algemene evaluatie van nv INDAVER in het kader van de BBT conclusies voor afvalverbranding voor de GPBV-installatie met RIE-nummer BE.VL.000000107 gelegen te 2030 Antwerpen, Poldervlietweg 5. </w:t>
      </w:r>
      <w:r>
        <w:rPr>
          <w:rFonts w:ascii="Helvetica" w:hAnsi="Helvetica"/>
          <w:color w:val="auto"/>
          <w:spacing w:val="0"/>
          <w:kern w:val="2"/>
          <w:sz w:val="24"/>
        </w:rPr>
        <w:t xml:space="preserve">In het kader van de algemene evaluatie van de GPBV-installaties naar aanleiding van de publicatie van de BBT-conclusies voor afvalverbranding in het publicatieblad van de Europese Unie op 3 december 2019 raadt de GOVC aan om enkele aanpassing te doen aan de in de lopende omgevingsvergunningen voor de exploitatie van </w:t>
      </w:r>
      <w:r>
        <w:rPr>
          <w:rFonts w:ascii="Helvetica" w:hAnsi="Helvetica"/>
          <w:color w:val="auto"/>
          <w:spacing w:val="0"/>
          <w:kern w:val="0"/>
          <w:sz w:val="24"/>
        </w:rPr>
        <w:t xml:space="preserve">de GPBV-installatie met RIE-nummer BE.VL.000000107 gelegen te 2030 Antwerpen, Poldervlietweg 5.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Ik vindt dat de voorgestelde aanpassingen niet voldoende zijn: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1) Het verslag werd opgemaakt op basis van advies van afdeling Gebiedsontwikkeling, Omgevingsplanning en - projecten (GOP Milieu) van departement Omgeving en OVAM. Verder werd er geen advies verkregen van Afdeling Grondwater van de Vlaamse Milieumaatschappij (VMM), Afdeling Ecologisch Toezicht van e Vlaamse Milieumaatschappij (VMM), Agentschap Zorg en Gezondheid en Vlaams Energie- en Klimaatagentschap.</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Vlarem bepaalt in hoofdstuk 6, afdeling 1 ‘Bijstelling van in de omgevingsvergunning opgelegde voorwaarden’ welke instanties advies moeten verlenen over de exploitatie van een ingedeelde inrichting of activiteit, en de inhoud van de adviezen. Deze instanties hebben dus geen advies gegeven en maken de evaluatie inhoudelijk zwak.</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2) Het verslag neemt het besluit om binnen 2 jaar een studie te maken van de emissies van de GPBV-installatie.</w:t>
      </w:r>
    </w:p>
    <w:p>
      <w:pPr>
        <w:pStyle w:val="Normal"/>
        <w:bidi w:val="0"/>
        <w:jc w:val="left"/>
        <w:rPr/>
      </w:pPr>
      <w:r>
        <w:rPr>
          <w:rFonts w:ascii="Helvetica" w:hAnsi="Helvetica"/>
          <w:color w:val="auto"/>
          <w:spacing w:val="0"/>
          <w:kern w:val="2"/>
          <w:sz w:val="24"/>
        </w:rPr>
        <w:t xml:space="preserve">De studie bevat volgende elementen: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 xml:space="preserve">1. Een overzicht van de emissiepunten en de kenmerken van de verschillende afgasstromen met specifieke aandacht voor de emissie van NOx, NH3 en SOX (concentraties en vrachten); </w:t>
      </w:r>
    </w:p>
    <w:p>
      <w:pPr>
        <w:pStyle w:val="Normal"/>
        <w:bidi w:val="0"/>
        <w:spacing w:before="0" w:after="13"/>
        <w:jc w:val="left"/>
        <w:rPr/>
      </w:pPr>
      <w:r>
        <w:rPr>
          <w:rFonts w:ascii="Helvetica" w:hAnsi="Helvetica"/>
          <w:color w:val="auto"/>
          <w:spacing w:val="0"/>
          <w:kern w:val="2"/>
          <w:sz w:val="24"/>
        </w:rPr>
        <w:t xml:space="preserve">2. Een analyse van de mogelijke impact op de natuurlijke kenmerken van de nabijgelegen Speciale Beschermingzone(s) en de mogelijke effecten op nabijgelegen VEN-gebieden; </w:t>
      </w:r>
    </w:p>
    <w:p>
      <w:pPr>
        <w:pStyle w:val="Normal"/>
        <w:bidi w:val="0"/>
        <w:spacing w:before="0" w:after="13"/>
        <w:jc w:val="left"/>
        <w:rPr/>
      </w:pPr>
      <w:r>
        <w:rPr>
          <w:rFonts w:ascii="Helvetica" w:hAnsi="Helvetica"/>
          <w:color w:val="auto"/>
          <w:spacing w:val="0"/>
          <w:kern w:val="2"/>
          <w:sz w:val="24"/>
        </w:rPr>
        <w:t xml:space="preserve">3. Indien een relevante impact verwacht wordt, een onderzoek naar de mogelijkheid om de totale emissie van de parameters NOx, NH3 en SOX binnen de installatie verder te reduceren inclusief een onderzoek naar technieken die verdergaan dan BBT. In samenwerking met een erkend MER-deskundige in de discipline lucht; </w:t>
      </w:r>
    </w:p>
    <w:p>
      <w:pPr>
        <w:pStyle w:val="Normal"/>
        <w:bidi w:val="0"/>
        <w:jc w:val="left"/>
        <w:rPr/>
      </w:pPr>
      <w:r>
        <w:rPr>
          <w:rFonts w:ascii="Helvetica" w:hAnsi="Helvetica"/>
          <w:color w:val="auto"/>
          <w:spacing w:val="0"/>
          <w:kern w:val="2"/>
          <w:sz w:val="24"/>
        </w:rPr>
        <w:t xml:space="preserve">4. Een plan van aanpak om betekenisvolle effecten voor de natuurlijke kenmerken van de Speciale Beschermingzone(s) en VEN-gebieden uit te sluiten. Dit plan bevat onder meer een lijst van geselecteerde bijkomende maatregelen met vermelding van randvoorwaarden, om de nodige reducties te verwezenlijken. En een beschrijving over hoe men dit op een geïntegreerde wijze in de bedrijfsvoering wenst te implementeren.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 xml:space="preserve">Indaver is van openbare dienst geëvolueerd naar een louter privé-bedrijf en dochter van Katoennatie. De voorbije jaren werden miljoenen vrijgemaakt om ook in andere landen bedrijven te lanceren of op te kopen. Ik heb niets tegen een uitbreidingspolitiek van bedrijven, maar vind dan wel dat men minstens evenveel prioriteit moet geven aan de sanering en het naleven van de normen in eigen land. Het verlagen van normen geeft een perverse effect dat er voor zorgt dat de afvalindustrie kan evolueren in het buitenland zonder in eigen land de hoogste normen via de best beschikbare technieken te moeten naleven. Men weet nu ook al dat vervuilde materie uit Nederland geïmporteerd wordt om hier te verbranden. De eigen volksgezondheid moet niet opgeofferd worden aan de expansie- en winstdrang van de internationale afvalindustrie.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Het consortium Indaver telt in België al een tiental financieel gezonde bedrijven. In de holding zitten ongeveer 714 miljoen euro vaste activa en men bouwde een eigen vermogen op van meer dan 400 miljoen euro. Mn maakt een kleine 3 miljoen aan verlies volgens de jaarrekening van 2021 maar keert 48 miljoen uit aan aandeelhouders. De holding controleert bedrijven in België, Nederland, Italië, Duitsland, Spanje en Portugal en is met andere woorden een grote speler in de internationale afvalindustrie.</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De aanvrager, Indaver NV, maakte en bedrijfswinst in 2020 van meer dan 20 miljoen euro, een eigen vermogen van meer dan 100 miljoen, voldoende activa en een reeks aan participaties in andere bedrijven die de know how en een sterke financiële structuur opleveren. In zijn jaarverslag stipt het bedrijf overigens aan dat “alle installaties ruimschoots voldoen aan de milieuvoorschriften”. Dan moet men dit ook maar zonder uitstel realiseren. Door de introductie van de nieuwe blauwe zak is men bovendien verzekerd van een sterk marktaandeel voor de volgende jaren.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Dit noopt ons tot de conclusie dat het bedrijf beter kan dan wat in dit verslag voorgesteld werd en dat het op zeer korte termijn kan voldoen aan alle tekortkomingen.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3) Voor de evaluatie moest nv INDAVER 2 studies indienen bij VMM voor 30 juni 2021. Deze studies behoren toe aan de historiek van de evaluaties en zouden dus gekend moeten zijn. We vroegen deze studies op bij VMM op 23 juli 2021 en kregen op 28 juli 2021 de bevestiging via mail dat deze studies nog niet ontvangen zijn.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Wij zijn van mening dat deze studies eerst ingediend hadden moeten worden alvorens er besluiten worden gevormd over de verstrenging van de normen voor afvalverbranding van nv INDAVER</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De 2 studies zijn: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1A1A1A"/>
          <w:spacing w:val="0"/>
          <w:kern w:val="0"/>
          <w:sz w:val="24"/>
        </w:rPr>
        <w:t>- Het bedrijf verricht onderzoek naar de herkomst van seleen in het afvalwater en de mogelijkheden om deze component (na reductie tot 4-waardig Se) centraal of decentraal verregaand te verwijderen. Dit onderzoek wordt gefinaliseerd tegen 30 juni 2021 en de resultaten worden bezorgd aan de VMM en de afdeling GOP (Milieu) van het departement Omgeving. </w:t>
      </w:r>
    </w:p>
    <w:p>
      <w:pPr>
        <w:pStyle w:val="Normal"/>
        <w:bidi w:val="0"/>
        <w:jc w:val="left"/>
        <w:rPr/>
      </w:pPr>
      <w:r>
        <w:rPr>
          <w:rFonts w:ascii="Helvetica" w:hAnsi="Helvetica"/>
          <w:color w:val="1A1A1A"/>
          <w:spacing w:val="0"/>
          <w:kern w:val="0"/>
          <w:sz w:val="24"/>
        </w:rPr>
        <w:t> </w:t>
      </w:r>
    </w:p>
    <w:p>
      <w:pPr>
        <w:pStyle w:val="Normal"/>
        <w:bidi w:val="0"/>
        <w:jc w:val="left"/>
        <w:rPr/>
      </w:pPr>
      <w:r>
        <w:rPr>
          <w:rFonts w:ascii="Helvetica" w:hAnsi="Helvetica"/>
          <w:color w:val="1A1A1A"/>
          <w:spacing w:val="0"/>
          <w:kern w:val="0"/>
          <w:sz w:val="24"/>
        </w:rPr>
        <w:t>- Het bedrijf verricht onderzoek naar de herkomst van TBT in het afvalwater en de mogelijkheden om deze component centraal of decentraal verregaand te verwijderen. Dit onderzoek wordt gefinaliseerd tegen 30 juni 2021 en de resultaten worden bezorgd aan de VMM en de afdeling GOP (Milieu) van het departement Omgeving. </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 xml:space="preserve">4) De evaluatie van de GPBV installatie heeft het niet over parameters voor PFOS PFOA en PFAS in het lozen van afvalwater en luchtverontreiniging. Nochtans wordt bij nv INDAVER afval verbrandt dat PFOS en PFAS bevatten. </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https://www.standaard.be/cnt/dmf20210615_97696222</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Wij zijn van mening dat deze parameters opgenomen moeten worden in de evaluatie van lozingswater en luchtverontreiniging en in overeenstemming worden gezet met Europese normering omtrent het lozen van PFOS en PFAS. Dat er voldoende onderzoek moet verricht worden hoe deze emissies gemonitord een voorkomen gaan worden.</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 xml:space="preserve">5) de evaluatie kijkt niet naar F- gassen die uit de verbrandingsoven komen. </w:t>
      </w:r>
      <w:r>
        <w:rPr>
          <w:rFonts w:ascii="Helvetica" w:hAnsi="Helvetica"/>
          <w:color w:val="262626"/>
          <w:spacing w:val="0"/>
          <w:kern w:val="0"/>
          <w:sz w:val="24"/>
        </w:rPr>
        <w:t>Op 16 april 2014 keurde de EU de </w:t>
      </w:r>
      <w:hyperlink r:id="rId2">
        <w:r>
          <w:rPr>
            <w:rFonts w:ascii="Helvetica" w:hAnsi="Helvetica"/>
            <w:color w:val="607C89"/>
            <w:spacing w:val="0"/>
            <w:kern w:val="0"/>
            <w:sz w:val="24"/>
            <w:u w:val="single"/>
          </w:rPr>
          <w:t>EU-verordening 517/2014 betreffende F-gassen</w:t>
        </w:r>
      </w:hyperlink>
      <w:r>
        <w:rPr>
          <w:rFonts w:ascii="Helvetica" w:hAnsi="Helvetica"/>
          <w:color w:val="262626"/>
          <w:spacing w:val="0"/>
          <w:kern w:val="0"/>
          <w:sz w:val="24"/>
        </w:rPr>
        <w:t> goed.</w:t>
      </w:r>
    </w:p>
    <w:p>
      <w:pPr>
        <w:pStyle w:val="Normal"/>
        <w:bidi w:val="0"/>
        <w:jc w:val="left"/>
        <w:rPr/>
      </w:pPr>
      <w:r>
        <w:rPr>
          <w:rFonts w:ascii="Helvetica" w:hAnsi="Helvetica"/>
          <w:color w:val="262626"/>
          <w:spacing w:val="0"/>
          <w:kern w:val="0"/>
          <w:sz w:val="24"/>
        </w:rPr>
        <w:t xml:space="preserve">Deze zorgt op Europees niveau voor een afname tegen 2030 met minstens 60% van de emissies van 2005 wordt gerealiseerd. In een eerste fase ambieert deze nieuwe verordening vooral een snelle afbouw van het gebruik van F-gassen met een hoge GWP-waarde. F -gassen vallen niet onder ETS systeem. Hiervoor heeft Vlaanderen speciale klimaat ambities opgesteld. </w:t>
      </w:r>
      <w:r>
        <w:rPr>
          <w:rFonts w:ascii="Helvetica" w:hAnsi="Helvetica"/>
          <w:color w:val="auto"/>
          <w:spacing w:val="0"/>
          <w:kern w:val="0"/>
          <w:sz w:val="24"/>
        </w:rPr>
        <w:t>De Vlaamse regering engageert zich om de broeikasgasemissies van de sectoren die niet gedekt zijn door het EU ETS (zogenaamde niet-ETS sectoren) te reduceren met 85% tegen 2050 (ten opzichte van 2005), met de ambitie om te evolueren naar volledige klimaatneutraliteit.</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Wij zijn van mening dat er een meting moet gebeuren om de emissie van F-gassen in kaart te brengen en te normeren volgens Europese richtlijnen richting klimaatneutraliteit.</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6) In de MER van 2019 voor Indaver NV is te lezen dat de zuidelijke deponie in overstromingsgebied ligt. Ik vind dat deponies geen plaats hebben in overstromingszones en dat deze bij gevolg niet kan vergund worden.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 xml:space="preserve">7) </w:t>
      </w:r>
      <w:r>
        <w:rPr>
          <w:rFonts w:ascii="Helvetica" w:hAnsi="Helvetica"/>
          <w:color w:val="1A1A1A"/>
          <w:spacing w:val="0"/>
          <w:kern w:val="0"/>
          <w:sz w:val="24"/>
        </w:rPr>
        <w:t>België heeft zich samen met de andere lidstaten van de Europese Unie toegelegd op het reduceren van de broeikasgassen met 40% in 2030 ten opzichte van 1990. Deze doelstelling is door de Europese Unie via het ‘2030 climate and energy framework’ vertaald naar een reductie van 43% voor ETS en 30% voor non-ETS (in vergelijking met 2005). Deze indeling werd gemaakt op basis van sectoren en de grootte van hun aandeel in broeikasgasemissies. </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De drie draaimolenovens van Indaver nv stoten CO2 uit bij de verbranding van afval. In de evaluatie wordt geen rekening gehouden met de evaluatie van CO2 uitstoot en de nodige aanpassingen om conform de Europese en Belgische klimaatdoelstellingen te blijven.</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Ik ben ervan overtuigd dat de nodige bijstellingen en investeringen nodig zijn om de noodzakelijk CO2 reductie mogelijk te maken tegen 2030.</w:t>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Fonts w:ascii="Helvetica" w:hAnsi="Helvetica"/>
          <w:color w:val="1A1A1A"/>
          <w:spacing w:val="0"/>
          <w:kern w:val="0"/>
          <w:sz w:val="24"/>
        </w:rPr>
        <w:t xml:space="preserve">9) </w:t>
      </w:r>
      <w:r>
        <w:rPr>
          <w:rFonts w:ascii="Helvetica" w:hAnsi="Helvetica"/>
          <w:color w:val="auto"/>
          <w:spacing w:val="0"/>
          <w:kern w:val="0"/>
          <w:sz w:val="24"/>
        </w:rPr>
        <w:t xml:space="preserve"> ‘Er dient een studie te worden bezorgd binnen een termijn van twee jaar waarin men rekening moet houden met de bepalingen van de definitieve Programmatische Aanpak Stikstof (PAS), voornamelijk voor het onderzoek naar potentiële bijkomende maatregelen.’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In het kader van het huidige stikstofoverschot in het milieu is het voorzorgsprincipe van kracht. de verbrandingsovens verhogen de druk op de stikstofuitstoot. Ik ben van mening dat er reeds investeringen kunnen gedaan worden om de druk op de stikstoflozing te verminderen. Ik ben ook van mening dat deze studie versneld kan worden. 2 jaar extra stikstoflozing in het milieu is nefast voor zowel nabijgelegen natuurgebieden als Kuifeend en nabijgelegen landbouw.</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0"/>
          <w:sz w:val="24"/>
        </w:rPr>
        <w:t xml:space="preserve">Ik vraag dat het verslag bijgewerkt wordt en effectief gebruikt wordt om de bestaande milieuvergunning te herzien. 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10) Het milieu-effecten rapport voor de hervergunning van de site van Indaver van 2019 is gebaseerd op een oriënterend bodemonderzoek uit 2016 dat voldoet aan de normen van 2006. In 2008 lanceerde OVAM nieuwe normen voor bodemonderzoek. Ik vind dan ook dat de strengste en meest recente normen gebruikt moeten worden om milieu-vergunningen uit te reiken.</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pPr>
      <w:r>
        <w:rPr>
          <w:rFonts w:ascii="Helvetica" w:hAnsi="Helvetica"/>
          <w:color w:val="auto"/>
          <w:spacing w:val="0"/>
          <w:kern w:val="2"/>
          <w:sz w:val="24"/>
        </w:rPr>
        <w:t xml:space="preserve">11) het milieu-effectenrapport voor de hervergunning van de site van Indaver van 2019 is voor de eerste keer een vergunning van onbepaalde duur. De vergunning werd afgeleverd alvorens de nodige studies uit het rapport volbracht zijn; Zo stelt het rapport dat er binnen de 2 jaar een onderzoek gedaan moet worden naar seleen en TBT in afvalwater. Afhankelijk van het resultaat kan de vergunning bijgesteld worden. Ik ben van mening dat deze onderzoeken eerst uitgevoerd moeten worden alvorens een vergunning van onbepaalde duur te verlenen.    </w:t>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rFonts w:ascii="Helvetica" w:hAnsi="Helvetica"/>
          <w:color w:val="auto"/>
          <w:spacing w:val="0"/>
          <w:kern w:val="2"/>
          <w:sz w:val="24"/>
        </w:rPr>
      </w:pPr>
      <w:r>
        <w:rPr>
          <w:rFonts w:ascii="Helvetica" w:hAnsi="Helvetica"/>
          <w:color w:val="auto"/>
          <w:spacing w:val="0"/>
          <w:kern w:val="2"/>
          <w:sz w:val="24"/>
        </w:rPr>
      </w:r>
    </w:p>
    <w:p>
      <w:pPr>
        <w:pStyle w:val="Normal"/>
        <w:bidi w:val="0"/>
        <w:jc w:val="left"/>
        <w:rPr>
          <w:rFonts w:ascii="Helvetica" w:hAnsi="Helvetica"/>
          <w:color w:val="1A1A1A"/>
          <w:spacing w:val="0"/>
          <w:kern w:val="2"/>
          <w:sz w:val="24"/>
        </w:rPr>
      </w:pPr>
      <w:r>
        <w:rPr>
          <w:rFonts w:ascii="Helvetica" w:hAnsi="Helvetica"/>
          <w:color w:val="1A1A1A"/>
          <w:spacing w:val="0"/>
          <w:kern w:val="2"/>
          <w:sz w:val="24"/>
        </w:rPr>
      </w:r>
    </w:p>
    <w:p>
      <w:pPr>
        <w:pStyle w:val="Normal"/>
        <w:bidi w:val="0"/>
        <w:jc w:val="left"/>
        <w:rPr/>
      </w:pPr>
      <w:r>
        <w:rPr/>
      </w:r>
    </w:p>
    <w:sectPr>
      <w:type w:val="nextPage"/>
      <w:pgSz w:w="11906" w:h="16838"/>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Helvetica">
    <w:altName w:val="Arial"/>
    <w:charset w:val="01"/>
    <w:family w:val="swiss"/>
    <w:pitch w:val="default"/>
  </w:font>
</w:fonts>
</file>

<file path=word/settings.xml><?xml version="1.0" encoding="utf-8"?>
<w:settings xmlns:w="http://schemas.openxmlformats.org/wordprocessingml/2006/main">
  <w:zoom w:percent="83"/>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nl-BE" w:eastAsia="zh-CN" w:bidi="hi-IN"/>
      </w:rPr>
    </w:rPrDefault>
    <w:pPrDefault>
      <w:pPr>
        <w:suppressAutoHyphens w:val="true"/>
      </w:pPr>
    </w:pPrDefault>
  </w:docDefaults>
  <w:style w:type="paragraph" w:styleId="Normal">
    <w:name w:val="Normal"/>
    <w:qFormat/>
    <w:pPr>
      <w:widowControl w:val="false"/>
      <w:bidi w:val="0"/>
    </w:pPr>
    <w:rPr>
      <w:rFonts w:ascii="Calibri" w:hAnsi="Calibri" w:eastAsia="NSimSun" w:cs="Lucida Sans"/>
      <w:color w:val="auto"/>
      <w:kern w:val="2"/>
      <w:sz w:val="22"/>
      <w:szCs w:val="24"/>
      <w:lang w:val="nl-BE"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Calibri" w:hAnsi="Calibri"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Calibri" w:hAnsi="Calibri" w:cs="Lucida Sans"/>
      <w:sz w:val="24"/>
    </w:rPr>
  </w:style>
  <w:style w:type="paragraph" w:styleId="Bijschrift">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ur-lex.europa.eu/legal-content/NL/TXT/PDF/?uri=CELEX:32014R0517&amp;from=N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LibreOffice/7.1.4.2$Windows_X86_64 LibreOffice_project/a529a4fab45b75fefc5b6226684193eb000654f6</Application>
  <AppVersion>15.0000</AppVersion>
  <Pages>3</Pages>
  <Words>1584</Words>
  <Characters>8676</Characters>
  <CharactersWithSpaces>10245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nl-BE</dc:language>
  <cp:lastModifiedBy/>
  <cp:revision>0</cp:revision>
  <dc:subject/>
  <dc:title/>
</cp:coreProperties>
</file>